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内蒙古民族幼儿师范高等专科学校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2022年第二次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岗位表</w:t>
      </w:r>
    </w:p>
    <w:bookmarkEnd w:id="0"/>
    <w:tbl>
      <w:tblPr>
        <w:tblStyle w:val="4"/>
        <w:tblpPr w:leftFromText="180" w:rightFromText="180" w:vertAnchor="text" w:horzAnchor="page" w:tblpX="1253" w:tblpY="478"/>
        <w:tblOverlap w:val="never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83"/>
        <w:gridCol w:w="717"/>
        <w:gridCol w:w="1500"/>
        <w:gridCol w:w="1266"/>
        <w:gridCol w:w="2067"/>
        <w:gridCol w:w="5983"/>
        <w:gridCol w:w="12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岗位序号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招聘人数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专业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其他条件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是否允许</w:t>
            </w: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二学位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专业报考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专职辅导员岗位1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  <w:r>
              <w:rPr>
                <w:rFonts w:hint="default"/>
                <w:lang w:val="en-US" w:eastAsia="zh-CN"/>
              </w:rPr>
              <w:t>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硕士及以上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文学、社会学、马克思主义理论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不限户籍；考试成绩相等的情况下中共党员优先。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专职辅导员岗位2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专业不限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不限户籍；具有高校专职辅导员工作经历；考试成绩相等的情况下中共党员优先；须持有学历学位双证。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行政管理岗位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专业不限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不限户籍；具有五年以上高校工作经历；须持有学历学位双证。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记账会计岗位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不限户籍；具有两年以上高校记账会计岗位工作经历；须持有学历学位双证。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网络运维管理岗位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学士及以上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计算机科学与技术、计算机网络工程（网络管理方向）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不限户籍；具有两年以上高校网络运维管理经验或三年以上网络运维管理经验；须持有学历学位双证；取得硕士研究生学历学位的，本硕专业应一致或相近。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2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2022-06-17T09:25:46Z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